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065BAF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EF3368">
        <w:rPr>
          <w:rFonts w:ascii="Times New Roman" w:eastAsia="Arial Unicode MS" w:hAnsi="Times New Roman" w:cs="Times New Roman"/>
          <w:b/>
          <w:kern w:val="0"/>
          <w:sz w:val="24"/>
          <w:szCs w:val="24"/>
          <w:lang w:eastAsia="lv-LV"/>
          <w14:ligatures w14:val="none"/>
        </w:rPr>
        <w:t>3</w:t>
      </w:r>
      <w:r w:rsidR="000404E2">
        <w:rPr>
          <w:rFonts w:ascii="Times New Roman" w:eastAsia="Arial Unicode MS" w:hAnsi="Times New Roman" w:cs="Times New Roman"/>
          <w:b/>
          <w:kern w:val="0"/>
          <w:sz w:val="24"/>
          <w:szCs w:val="24"/>
          <w:lang w:eastAsia="lv-LV"/>
          <w14:ligatures w14:val="none"/>
        </w:rPr>
        <w:t>3</w:t>
      </w:r>
    </w:p>
    <w:p w14:paraId="1F79BAD4" w14:textId="16171D2F"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954C6F">
        <w:rPr>
          <w:rFonts w:ascii="Times New Roman" w:eastAsia="Arial Unicode MS" w:hAnsi="Times New Roman" w:cs="Times New Roman"/>
          <w:kern w:val="0"/>
          <w:sz w:val="24"/>
          <w:szCs w:val="24"/>
          <w:lang w:eastAsia="lv-LV"/>
          <w14:ligatures w14:val="none"/>
        </w:rPr>
        <w:t>3</w:t>
      </w:r>
      <w:r w:rsidR="000404E2">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6B716DA" w14:textId="77777777" w:rsidR="0012554F" w:rsidRPr="0012554F" w:rsidRDefault="0012554F"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6634E2CA" w14:textId="77777777" w:rsidR="000404E2" w:rsidRPr="000404E2" w:rsidRDefault="000404E2" w:rsidP="000404E2">
      <w:pPr>
        <w:spacing w:after="0" w:line="240" w:lineRule="auto"/>
        <w:jc w:val="both"/>
        <w:rPr>
          <w:rFonts w:ascii="Times New Roman" w:eastAsia="Calibri" w:hAnsi="Times New Roman" w:cs="Times New Roman"/>
          <w:b/>
          <w:bCs/>
          <w:iCs/>
          <w:kern w:val="0"/>
          <w:sz w:val="24"/>
          <w:szCs w:val="24"/>
          <w14:ligatures w14:val="none"/>
        </w:rPr>
      </w:pPr>
      <w:r w:rsidRPr="000404E2">
        <w:rPr>
          <w:rFonts w:ascii="Times New Roman" w:eastAsia="Calibri" w:hAnsi="Times New Roman" w:cs="Times New Roman"/>
          <w:b/>
          <w:bCs/>
          <w:iCs/>
          <w:kern w:val="0"/>
          <w:sz w:val="24"/>
          <w:szCs w:val="24"/>
          <w14:ligatures w14:val="none"/>
        </w:rPr>
        <w:t>Par SIA “Cesvaines siltums” reorganizāciju</w:t>
      </w:r>
    </w:p>
    <w:p w14:paraId="0A07ADCD" w14:textId="77777777" w:rsidR="000404E2" w:rsidRDefault="000404E2" w:rsidP="000404E2">
      <w:pPr>
        <w:spacing w:after="0" w:line="240" w:lineRule="auto"/>
        <w:rPr>
          <w:rFonts w:ascii="Times New Roman" w:eastAsia="Times New Roman" w:hAnsi="Times New Roman" w:cs="Times New Roman"/>
          <w:i/>
          <w:iCs/>
          <w:kern w:val="0"/>
          <w:sz w:val="24"/>
          <w:szCs w:val="24"/>
          <w:lang w:eastAsia="lv-LV"/>
          <w14:ligatures w14:val="none"/>
        </w:rPr>
      </w:pPr>
      <w:bookmarkStart w:id="633" w:name="p143"/>
      <w:bookmarkStart w:id="634" w:name="p-554619"/>
      <w:bookmarkEnd w:id="633"/>
      <w:bookmarkEnd w:id="634"/>
    </w:p>
    <w:p w14:paraId="2201493B" w14:textId="77777777" w:rsidR="000404E2" w:rsidRPr="000404E2" w:rsidRDefault="000404E2" w:rsidP="000404E2">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Pašvaldību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Madonas novada attīstības programmā 2022.-2028.gadam, kas apstiprināta ar pašvaldības domes 2022.gada 31.maija lēmumu Nr. 357, noteikti stratēģiskie mērķi un vidējā termiņa prioritātes, saistībā ar komunālo pakalpojumu uzlabošanu siltumapgādes pakalpojumu pieejamībai, dzīves vides kvalitātes uzlabošanai līdzsvarotai novada attīstībai, stiprinot pašvaldības kapitālsabiedrības.</w:t>
      </w:r>
    </w:p>
    <w:p w14:paraId="266312C2" w14:textId="77777777" w:rsidR="000404E2" w:rsidRPr="000404E2" w:rsidRDefault="000404E2" w:rsidP="000404E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Valsts pārvaldes iekārtas likuma 10.panta desmitā daļa paredz, ka valsts pārvaldi organizē pēc iespējas efektīvi. Valsts pārvaldes institucionālo sistēmu pastāvīgi pārbauda, un, ja nepieciešams, pilnveido, izvērtējot arī funkciju apjomu, nepieciešamību un koncentrācijas pakāpi.</w:t>
      </w:r>
    </w:p>
    <w:p w14:paraId="41D36A67" w14:textId="77777777" w:rsidR="000404E2" w:rsidRPr="000404E2" w:rsidRDefault="000404E2" w:rsidP="000404E2">
      <w:pPr>
        <w:spacing w:after="0" w:line="240" w:lineRule="auto"/>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 xml:space="preserve">     </w:t>
      </w:r>
      <w:r w:rsidRPr="000404E2">
        <w:rPr>
          <w:rFonts w:ascii="Times New Roman" w:eastAsia="Times New Roman" w:hAnsi="Times New Roman" w:cs="Times New Roman"/>
          <w:kern w:val="0"/>
          <w:sz w:val="24"/>
          <w:szCs w:val="24"/>
          <w:lang w:eastAsia="lv-LV"/>
          <w14:ligatures w14:val="none"/>
        </w:rPr>
        <w:tab/>
        <w:t xml:space="preserve">Madonas novada pašvaldībai (turpmāk – pašvaldība) pieder visas SIA “Cesvaines siltums”, reģistrācijas Nr. 45403006595 (turpmāk – Kapitālsabiedrība), kapitāla daļas. </w:t>
      </w:r>
    </w:p>
    <w:p w14:paraId="66A5C7A9" w14:textId="77777777" w:rsidR="000404E2" w:rsidRPr="000404E2" w:rsidRDefault="000404E2" w:rsidP="000404E2">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0404E2">
        <w:rPr>
          <w:rFonts w:ascii="Times New Roman" w:eastAsia="Times New Roman" w:hAnsi="Times New Roman" w:cs="Times New Roman"/>
          <w:bCs/>
          <w:kern w:val="0"/>
          <w:sz w:val="24"/>
          <w:szCs w:val="24"/>
          <w:lang w:eastAsia="lv-LV"/>
          <w14:ligatures w14:val="none"/>
        </w:rPr>
        <w:t xml:space="preserve">     </w:t>
      </w:r>
      <w:r w:rsidRPr="000404E2">
        <w:rPr>
          <w:rFonts w:ascii="Times New Roman" w:eastAsia="Times New Roman" w:hAnsi="Times New Roman" w:cs="Times New Roman"/>
          <w:bCs/>
          <w:kern w:val="0"/>
          <w:sz w:val="24"/>
          <w:szCs w:val="24"/>
          <w:lang w:eastAsia="lv-LV"/>
          <w14:ligatures w14:val="none"/>
        </w:rPr>
        <w:tab/>
        <w:t xml:space="preserve">Saskaņā ar </w:t>
      </w:r>
      <w:r w:rsidRPr="000404E2">
        <w:rPr>
          <w:rFonts w:ascii="Times New Roman" w:eastAsia="Times New Roman" w:hAnsi="Times New Roman" w:cs="Times New Roman"/>
          <w:kern w:val="0"/>
          <w:sz w:val="24"/>
          <w:szCs w:val="24"/>
          <w:lang w:eastAsia="lv-LV"/>
          <w14:ligatures w14:val="none"/>
        </w:rPr>
        <w:t>Kapitālsabiedrības</w:t>
      </w:r>
      <w:r w:rsidRPr="000404E2">
        <w:rPr>
          <w:rFonts w:ascii="Times New Roman" w:eastAsia="Times New Roman" w:hAnsi="Times New Roman" w:cs="Times New Roman"/>
          <w:bCs/>
          <w:kern w:val="0"/>
          <w:sz w:val="24"/>
          <w:szCs w:val="24"/>
          <w:lang w:eastAsia="lv-LV"/>
          <w14:ligatures w14:val="none"/>
        </w:rPr>
        <w:t xml:space="preserve"> statūtiem tās </w:t>
      </w:r>
      <w:r w:rsidRPr="000404E2">
        <w:rPr>
          <w:rFonts w:ascii="Times New Roman" w:eastAsia="Times New Roman" w:hAnsi="Times New Roman" w:cs="Times New Roman"/>
          <w:kern w:val="0"/>
          <w:sz w:val="24"/>
          <w:szCs w:val="24"/>
          <w:shd w:val="clear" w:color="auto" w:fill="FFFFFF"/>
          <w:lang w:eastAsia="lv-LV"/>
          <w14:ligatures w14:val="none"/>
        </w:rPr>
        <w:t>komercdarbības veids (NACE 2.1. klasifikators) ir siltumapgāde un gaisa kondicionēšana (35.30).</w:t>
      </w:r>
    </w:p>
    <w:p w14:paraId="00E97ADC" w14:textId="77777777" w:rsidR="000404E2" w:rsidRPr="000404E2" w:rsidRDefault="000404E2" w:rsidP="000404E2">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Atbilstoši SIA “Cesvaines siltums” 2026.gada 23.februāra vadības ziņojuma datiem, SIA “Cesvaines siltums” pēdējo trīs gadu laikā ir sasniegts saražotās siltumenerģijas apjoms gadā, kad SIA “Cesvaines siltums” ir nepieciešamība reģistrēties Sabiedrisko pakalpojumu regulēšanas komisijā (turpmāk – SPRK), iegūstot licenci siltumenerģijas ražošanai, pārvadei, sadalei un tirdzniecībai, kā arī nepieciešams siltumenerģijas pakalpojuma tarifu aprēķināt atbilstoši SPRK “Siltumenerģijas apgādes pakalpojumu tarifu aprēķināšanas metodika” un apstiprināt SPRK.</w:t>
      </w:r>
    </w:p>
    <w:p w14:paraId="181B02F2" w14:textId="77777777" w:rsidR="000404E2" w:rsidRPr="000404E2" w:rsidRDefault="000404E2" w:rsidP="000404E2">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Pašvaldībai pieder visas SIA “Madonas Siltums”, reģistrācijas Nr. 45403004471, kapitāla daļas. Saskaņā ar SIA “Madonas Siltums” statūtiem</w:t>
      </w:r>
      <w:r w:rsidRPr="000404E2">
        <w:rPr>
          <w:rFonts w:ascii="Times New Roman" w:eastAsia="Times New Roman" w:hAnsi="Times New Roman" w:cs="Times New Roman"/>
          <w:bCs/>
          <w:kern w:val="0"/>
          <w:sz w:val="24"/>
          <w:szCs w:val="24"/>
          <w:lang w:eastAsia="lv-LV"/>
          <w14:ligatures w14:val="none"/>
        </w:rPr>
        <w:t xml:space="preserve"> tās </w:t>
      </w:r>
      <w:r w:rsidRPr="000404E2">
        <w:rPr>
          <w:rFonts w:ascii="Times New Roman" w:eastAsia="Times New Roman" w:hAnsi="Times New Roman" w:cs="Times New Roman"/>
          <w:kern w:val="0"/>
          <w:sz w:val="24"/>
          <w:szCs w:val="24"/>
          <w:lang w:eastAsia="lv-LV"/>
          <w14:ligatures w14:val="none"/>
        </w:rPr>
        <w:t>komercdarbības veids (NACE 2.1. klasifikators) ir siltumapgāde un gaisa kondicionēšana (35.30), SIA “Madonas Siltums” ir SPRK reģistrēta, licencēta kapitālsabiedrība siltumenerģijas ražošanai, pārvadei, sadalei un tirdzniecībai Madonas novadā.</w:t>
      </w:r>
    </w:p>
    <w:p w14:paraId="5F4CBA28" w14:textId="77777777" w:rsidR="000404E2" w:rsidRPr="000404E2" w:rsidRDefault="000404E2" w:rsidP="000404E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Lai nodrošinātu siltumapgādes pakalpojuma sniegšanas efektivitāti Madonas novada Cesvaines apvienības pārvaldes administratīvajā teritorijā, Madonas novada pašvaldības izpilddirektors atbilstoši Pašvaldību likuma 22.panta pirmās daļas 5.punktam izvirza priekšlikumu pašvaldības domei par iepriekš minēto kapitālsabiedrību reorganizāciju, tās apvienojot pievienošanas ceļā. Pēc reorganizācijas procesa noslēgšanās siltumapgādes pakalpojuma nodrošināšanu teritorijā, kurā līdz šim pakalpojumu nodrošināja Kapitālsabiedrība, veiks pašvaldības SIA “Madonas Siltums”.</w:t>
      </w:r>
    </w:p>
    <w:p w14:paraId="1D8E775F" w14:textId="77777777" w:rsidR="000404E2" w:rsidRPr="000404E2" w:rsidRDefault="000404E2" w:rsidP="000404E2">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lastRenderedPageBreak/>
        <w:t>Reorganizācijas mērķis ir nodrošināt lietderīgāku pakalpojumu sniegšanu administratīvās teritorijas iedzīvotājiem, veikt deleģētos pienākumus efektīvāk ar mazāko finanšu līdzekļu un mantas izlietojumu, stiprināt kapitālsabiedrības saimnieciskās darbības kapacitāti. Kā būtiskākie kapitālsabiedrību reorganizācijas ieguvumi ir stiprināta administratīvā pārvaldība, pārņemta labākā prakse uzņēmumu pārvaldībā, efektīva administrācija, t.sk. centralizētas administratīvās funkcijas, atbalsta funkciju optimizēšana, uzlabota resursu plānošana un izmantošana. Iespēja veikt izdevīgākus iepirkumus, ņemot vērā uzņēmumu lielumu. Iespēja efektīvāk piesaistīt ES fondus.</w:t>
      </w:r>
    </w:p>
    <w:p w14:paraId="7D8649C8" w14:textId="77777777" w:rsidR="000404E2" w:rsidRPr="000404E2" w:rsidRDefault="000404E2" w:rsidP="000404E2">
      <w:pPr>
        <w:spacing w:after="0" w:line="240" w:lineRule="auto"/>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 xml:space="preserve">     </w:t>
      </w:r>
      <w:r w:rsidRPr="000404E2">
        <w:rPr>
          <w:rFonts w:ascii="Times New Roman" w:eastAsia="Times New Roman" w:hAnsi="Times New Roman" w:cs="Times New Roman"/>
          <w:kern w:val="0"/>
          <w:sz w:val="24"/>
          <w:szCs w:val="24"/>
          <w:lang w:eastAsia="lv-LV"/>
          <w14:ligatures w14:val="none"/>
        </w:rPr>
        <w:tab/>
        <w:t xml:space="preserve">Publiskas personas kapitāla daļu un kapitālsabiedrību pārvaldības likuma (turpmāk – Likums) </w:t>
      </w:r>
      <w:r w:rsidRPr="000404E2">
        <w:rPr>
          <w:rFonts w:ascii="Times New Roman" w:eastAsia="Times New Roman" w:hAnsi="Times New Roman" w:cs="Times New Roman"/>
          <w:bCs/>
          <w:kern w:val="0"/>
          <w:sz w:val="24"/>
          <w:szCs w:val="24"/>
          <w:lang w:eastAsia="lv-LV"/>
          <w14:ligatures w14:val="none"/>
        </w:rPr>
        <w:t>127. panta pirmā daļa nosaka, ka p</w:t>
      </w:r>
      <w:r w:rsidRPr="000404E2">
        <w:rPr>
          <w:rFonts w:ascii="Times New Roman" w:eastAsia="Times New Roman" w:hAnsi="Times New Roman" w:cs="Times New Roman"/>
          <w:kern w:val="0"/>
          <w:sz w:val="24"/>
          <w:szCs w:val="24"/>
          <w:lang w:eastAsia="lv-LV"/>
          <w14:ligatures w14:val="none"/>
        </w:rPr>
        <w:t xml:space="preserve">ubliskas personas augstākā lēmējinstitūcija pieņem lēmumu par publiskas personas kapitālsabiedrību apvienošanas uzsākšanu, savukārt 127.panta otrā daļa nosaka, ka šā panta pirmajā daļā minētajā lēmumā nosaka iegūstošās sabiedrības kapitāla daļu turētāju. </w:t>
      </w:r>
    </w:p>
    <w:p w14:paraId="23C9686E" w14:textId="77777777" w:rsidR="000404E2" w:rsidRPr="000404E2" w:rsidRDefault="000404E2" w:rsidP="000404E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Likuma 130.pants nosaka, ka pieņemot lēmumu par reorganizācijas uzsākšanu, publiskas personas augstākā lēmējinstitūcija var paredzēt reorganizācijas nosacījumus.</w:t>
      </w:r>
    </w:p>
    <w:p w14:paraId="00B817A9" w14:textId="77777777" w:rsidR="000404E2" w:rsidRPr="000404E2" w:rsidRDefault="000404E2" w:rsidP="000404E2">
      <w:pPr>
        <w:spacing w:after="0" w:line="240" w:lineRule="auto"/>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 xml:space="preserve">     </w:t>
      </w:r>
      <w:r w:rsidRPr="000404E2">
        <w:rPr>
          <w:rFonts w:ascii="Times New Roman" w:eastAsia="Times New Roman" w:hAnsi="Times New Roman" w:cs="Times New Roman"/>
          <w:kern w:val="0"/>
          <w:sz w:val="24"/>
          <w:szCs w:val="24"/>
          <w:lang w:eastAsia="lv-LV"/>
          <w14:ligatures w14:val="none"/>
        </w:rPr>
        <w:tab/>
        <w:t xml:space="preserve">Komerclikuma 335. panta pirmā daļa nosaka, ka </w:t>
      </w:r>
      <w:r w:rsidRPr="000404E2">
        <w:rPr>
          <w:rFonts w:ascii="Times New Roman" w:eastAsia="Times New Roman" w:hAnsi="Times New Roman" w:cs="Times New Roman"/>
          <w:iCs/>
          <w:kern w:val="0"/>
          <w:sz w:val="24"/>
          <w:szCs w:val="24"/>
          <w:lang w:eastAsia="lv-LV"/>
          <w14:ligatures w14:val="none"/>
        </w:rPr>
        <w:t>sabiedrību apvienošana var notikt kā pievienošana vai saplūšana</w:t>
      </w:r>
      <w:r w:rsidRPr="000404E2">
        <w:rPr>
          <w:rFonts w:ascii="Times New Roman" w:eastAsia="Times New Roman" w:hAnsi="Times New Roman" w:cs="Times New Roman"/>
          <w:kern w:val="0"/>
          <w:sz w:val="24"/>
          <w:szCs w:val="24"/>
          <w:lang w:eastAsia="lv-LV"/>
          <w14:ligatures w14:val="none"/>
        </w:rPr>
        <w:t xml:space="preserve">. </w:t>
      </w:r>
    </w:p>
    <w:p w14:paraId="31705DC0" w14:textId="77777777" w:rsidR="000404E2" w:rsidRPr="000404E2" w:rsidRDefault="000404E2" w:rsidP="000404E2">
      <w:pPr>
        <w:spacing w:after="0" w:line="240" w:lineRule="auto"/>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 xml:space="preserve">     </w:t>
      </w:r>
      <w:r w:rsidRPr="000404E2">
        <w:rPr>
          <w:rFonts w:ascii="Times New Roman" w:eastAsia="Times New Roman" w:hAnsi="Times New Roman" w:cs="Times New Roman"/>
          <w:kern w:val="0"/>
          <w:sz w:val="24"/>
          <w:szCs w:val="24"/>
          <w:lang w:eastAsia="lv-LV"/>
          <w14:ligatures w14:val="none"/>
        </w:rPr>
        <w:tab/>
        <w:t xml:space="preserve">Komerclikuma 335. panta otrā daļa nosaka, ka </w:t>
      </w:r>
      <w:r w:rsidRPr="000404E2">
        <w:rPr>
          <w:rFonts w:ascii="Times New Roman" w:eastAsia="Times New Roman" w:hAnsi="Times New Roman" w:cs="Times New Roman"/>
          <w:iCs/>
          <w:kern w:val="0"/>
          <w:sz w:val="24"/>
          <w:szCs w:val="24"/>
          <w:lang w:eastAsia="lv-LV"/>
          <w14:ligatures w14:val="none"/>
        </w:rPr>
        <w:t>p</w:t>
      </w:r>
      <w:r w:rsidRPr="000404E2">
        <w:rPr>
          <w:rFonts w:ascii="Times New Roman" w:eastAsia="Times New Roman" w:hAnsi="Times New Roman" w:cs="Times New Roman"/>
          <w:kern w:val="0"/>
          <w:sz w:val="24"/>
          <w:szCs w:val="24"/>
          <w:lang w:eastAsia="lv-LV"/>
          <w14:ligatures w14:val="none"/>
        </w:rPr>
        <w:t xml:space="preserve">ievienošana ir process, kurā viena vai vairākas sabiedrības (pievienojamās sabiedrības) nodod visu savu mantu citai jau pastāvošai sabiedrībai (iegūstošā sabiedrība). </w:t>
      </w:r>
    </w:p>
    <w:p w14:paraId="3EC960CC" w14:textId="77777777" w:rsidR="000404E2" w:rsidRPr="000404E2" w:rsidRDefault="000404E2" w:rsidP="000404E2">
      <w:pPr>
        <w:spacing w:after="0" w:line="240" w:lineRule="auto"/>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 xml:space="preserve">     </w:t>
      </w:r>
      <w:r w:rsidRPr="000404E2">
        <w:rPr>
          <w:rFonts w:ascii="Times New Roman" w:eastAsia="Times New Roman" w:hAnsi="Times New Roman" w:cs="Times New Roman"/>
          <w:kern w:val="0"/>
          <w:sz w:val="24"/>
          <w:szCs w:val="24"/>
          <w:lang w:eastAsia="lv-LV"/>
          <w14:ligatures w14:val="none"/>
        </w:rPr>
        <w:tab/>
        <w:t xml:space="preserve">Komerclikuma 335. panta ceturtā daļa nosaka, ka </w:t>
      </w:r>
      <w:r w:rsidRPr="000404E2">
        <w:rPr>
          <w:rFonts w:ascii="Times New Roman" w:eastAsia="Times New Roman" w:hAnsi="Times New Roman" w:cs="Times New Roman"/>
          <w:iCs/>
          <w:kern w:val="0"/>
          <w:sz w:val="24"/>
          <w:szCs w:val="24"/>
          <w:lang w:eastAsia="lv-LV"/>
          <w14:ligatures w14:val="none"/>
        </w:rPr>
        <w:t>apvienošanas gadījumā pievienojamā sabiedrība beidz pastāvēt bez likvidācijas procesa.</w:t>
      </w:r>
      <w:r w:rsidRPr="000404E2">
        <w:rPr>
          <w:rFonts w:ascii="Times New Roman" w:eastAsia="Times New Roman" w:hAnsi="Times New Roman" w:cs="Times New Roman"/>
          <w:kern w:val="0"/>
          <w:sz w:val="24"/>
          <w:szCs w:val="24"/>
          <w:lang w:eastAsia="lv-LV"/>
          <w14:ligatures w14:val="none"/>
        </w:rPr>
        <w:t xml:space="preserve"> </w:t>
      </w:r>
    </w:p>
    <w:p w14:paraId="4E93537A" w14:textId="77777777" w:rsidR="000404E2" w:rsidRPr="000404E2" w:rsidRDefault="000404E2" w:rsidP="000404E2">
      <w:pPr>
        <w:spacing w:after="0" w:line="240" w:lineRule="auto"/>
        <w:jc w:val="both"/>
        <w:rPr>
          <w:rFonts w:ascii="Times New Roman" w:eastAsia="Times New Roman" w:hAnsi="Times New Roman" w:cs="Times New Roman"/>
          <w:iCs/>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 xml:space="preserve">     </w:t>
      </w:r>
      <w:r w:rsidRPr="000404E2">
        <w:rPr>
          <w:rFonts w:ascii="Times New Roman" w:eastAsia="Times New Roman" w:hAnsi="Times New Roman" w:cs="Times New Roman"/>
          <w:kern w:val="0"/>
          <w:sz w:val="24"/>
          <w:szCs w:val="24"/>
          <w:lang w:eastAsia="lv-LV"/>
          <w14:ligatures w14:val="none"/>
        </w:rPr>
        <w:tab/>
        <w:t xml:space="preserve">Komerclikuma 335. panta piektā daļa nosaka, ka </w:t>
      </w:r>
      <w:r w:rsidRPr="000404E2">
        <w:rPr>
          <w:rFonts w:ascii="Times New Roman" w:eastAsia="Times New Roman" w:hAnsi="Times New Roman" w:cs="Times New Roman"/>
          <w:iCs/>
          <w:kern w:val="0"/>
          <w:sz w:val="24"/>
          <w:szCs w:val="24"/>
          <w:lang w:eastAsia="lv-LV"/>
          <w14:ligatures w14:val="none"/>
        </w:rPr>
        <w:t>apvienošanas gadījumā pievienojamās sabiedrības tiesības un saistības pāriet iegūstošajai sabiedrībai.</w:t>
      </w:r>
    </w:p>
    <w:p w14:paraId="04F65DEB" w14:textId="77777777" w:rsidR="000404E2" w:rsidRPr="000404E2" w:rsidRDefault="000404E2" w:rsidP="000404E2">
      <w:pPr>
        <w:spacing w:after="0" w:line="240" w:lineRule="auto"/>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 xml:space="preserve">     </w:t>
      </w:r>
      <w:r w:rsidRPr="000404E2">
        <w:rPr>
          <w:rFonts w:ascii="Times New Roman" w:eastAsia="Times New Roman" w:hAnsi="Times New Roman" w:cs="Times New Roman"/>
          <w:kern w:val="0"/>
          <w:sz w:val="24"/>
          <w:szCs w:val="24"/>
          <w:lang w:eastAsia="lv-LV"/>
          <w14:ligatures w14:val="none"/>
        </w:rPr>
        <w:tab/>
        <w:t>Komerclikuma 335. panta sestā daļa nosaka, ka apvienošanas gadījumā pievienojamās sabiedrības dalībnieki kļūst par iegūstošās sabiedrības dalībniekiem.</w:t>
      </w:r>
    </w:p>
    <w:p w14:paraId="7A7DB7BD" w14:textId="77777777" w:rsidR="000404E2" w:rsidRPr="000404E2" w:rsidRDefault="000404E2" w:rsidP="000404E2">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Ņemot vērā, ka pamatkapitāla palielināšana prasa ievērojamus papildu finanšu līdzekļus un laiku, tiek ierosināts reorganizācijas procesā iegūstošās kapitālsabiedrības pamatkapitālu nepalielināt, nosakot, ka pievienojamās kapitālsabiedrības pamatkapitāls, rezerves un nesadalītā peļņa tiek uzskaitīts iegūstošās kapitālsabiedrības bilancē postenī “Rezerves”, nodrošinot kopējā pašvaldības ieguldījuma uzskaiti un pārskatāmību.</w:t>
      </w:r>
    </w:p>
    <w:p w14:paraId="43FED6C7" w14:textId="77777777" w:rsidR="000404E2" w:rsidRPr="000404E2" w:rsidRDefault="000404E2" w:rsidP="000404E2">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 xml:space="preserve">Pašvaldību likuma 10.panta pirmās daļas 9.punktā noteikts, ka dome ir tiesīga izlemt ikvienu pašvaldības kompetences jautājumu, turklāt tikai domes kompetencē ir likumā noteiktajā kārtībā izveidot, reorganizēt un likvidēt pašvaldības kapitālsabiedrības un nodibinājumus, kā arī lemt par dalību kapitālsabiedrībās, biedrībās un nodibinājumos. </w:t>
      </w:r>
    </w:p>
    <w:p w14:paraId="228279B8" w14:textId="77777777" w:rsidR="000404E2" w:rsidRPr="000404E2" w:rsidRDefault="000404E2" w:rsidP="000404E2">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0404E2">
        <w:rPr>
          <w:rFonts w:ascii="Times New Roman" w:eastAsia="Times New Roman" w:hAnsi="Times New Roman" w:cs="Times New Roman"/>
          <w:kern w:val="0"/>
          <w:sz w:val="24"/>
          <w:szCs w:val="24"/>
          <w:lang w:eastAsia="lv-LV"/>
          <w14:ligatures w14:val="none"/>
        </w:rPr>
        <w:t>Pašvaldību likuma 10. panta pirmās daļas 21. punkts nosaka, ka tikai pašvaldības domes kompetencē ir pieņemt lēmumus citos ārējos normatīvajos aktos paredzētajos gadījumos.</w:t>
      </w:r>
    </w:p>
    <w:p w14:paraId="292904D4" w14:textId="37C73820" w:rsidR="000404E2" w:rsidRDefault="000404E2" w:rsidP="000404E2">
      <w:pPr>
        <w:spacing w:after="0" w:line="240" w:lineRule="auto"/>
        <w:ind w:firstLine="709"/>
        <w:jc w:val="both"/>
        <w:rPr>
          <w:rFonts w:ascii="Times New Roman" w:hAnsi="Times New Roman" w:cs="Times New Roman"/>
          <w:b/>
          <w:kern w:val="0"/>
          <w:sz w:val="24"/>
          <w:szCs w:val="24"/>
          <w14:ligatures w14:val="none"/>
        </w:rPr>
      </w:pPr>
      <w:r w:rsidRPr="000404E2">
        <w:rPr>
          <w:rFonts w:ascii="Times New Roman" w:eastAsia="Times New Roman" w:hAnsi="Times New Roman" w:cs="Times New Roman"/>
          <w:kern w:val="0"/>
          <w:sz w:val="24"/>
          <w:szCs w:val="24"/>
          <w:lang w:eastAsia="lv-LV"/>
          <w14:ligatures w14:val="none"/>
        </w:rPr>
        <w:t>Lai optimizētu pašvaldības kapitālsabiedrību darbību, kas sekmētu pašvaldības finanšu līdzekļu ekonomiju, kas perspektīvā veicinātu pašvaldības sniegto pakalpojumu kvalitātes pilnveidošanu, attīstību un pieejamību, ko nodrošinātu vienota pašvaldības kapitālsabiedrība</w:t>
      </w:r>
      <w:r w:rsidRPr="000404E2">
        <w:rPr>
          <w:rFonts w:ascii="Times New Roman" w:eastAsia="Calibri" w:hAnsi="Times New Roman" w:cs="Times New Roman"/>
          <w:kern w:val="0"/>
          <w:sz w:val="24"/>
          <w:szCs w:val="24"/>
          <w14:ligatures w14:val="none"/>
        </w:rPr>
        <w:t xml:space="preserve">, pamatojoties uz </w:t>
      </w:r>
      <w:r w:rsidRPr="000404E2">
        <w:rPr>
          <w:rFonts w:ascii="Times New Roman" w:eastAsia="Times New Roman" w:hAnsi="Times New Roman" w:cs="Times New Roman"/>
          <w:kern w:val="0"/>
          <w:sz w:val="24"/>
          <w:szCs w:val="24"/>
          <w:lang w:eastAsia="lv-LV"/>
          <w14:ligatures w14:val="none"/>
        </w:rPr>
        <w:t xml:space="preserve">Pašvaldību likuma 10. panta pirmās daļas 9. punktu un 21. punktu, Publiskas personas kapitāla daļu un kapitālsabiedrību pārvaldības likuma 65.panta otro daļu, 66.panta pirmās daļas 10.punktu, </w:t>
      </w:r>
      <w:r w:rsidRPr="000404E2">
        <w:rPr>
          <w:rFonts w:ascii="Times New Roman" w:eastAsia="Times New Roman" w:hAnsi="Times New Roman" w:cs="Times New Roman"/>
          <w:bCs/>
          <w:kern w:val="0"/>
          <w:sz w:val="24"/>
          <w:szCs w:val="24"/>
          <w:lang w:eastAsia="lv-LV"/>
          <w14:ligatures w14:val="none"/>
        </w:rPr>
        <w:t>127., 130., 131. pantu,</w:t>
      </w:r>
      <w:r w:rsidRPr="000404E2">
        <w:rPr>
          <w:rFonts w:ascii="Times New Roman" w:eastAsia="Times New Roman" w:hAnsi="Times New Roman" w:cs="Times New Roman"/>
          <w:kern w:val="0"/>
          <w:sz w:val="24"/>
          <w:szCs w:val="24"/>
          <w:lang w:eastAsia="lv-LV"/>
          <w14:ligatures w14:val="none"/>
        </w:rPr>
        <w:t xml:space="preserve"> Komerclikuma 334.panta pirmo daļu, 335.panta pirmo, otro, ceturto, piekto, sesto daļu, 338.panta pirmo daļu, 339.panta ceturto daļu, 340.panta otro daļu, 371., 372. pantu,</w:t>
      </w:r>
      <w:r w:rsidRPr="000404E2">
        <w:rPr>
          <w:rFonts w:ascii="Times New Roman" w:eastAsia="Calibri" w:hAnsi="Times New Roman" w:cs="Times New Roman"/>
          <w:kern w:val="0"/>
          <w:sz w:val="24"/>
          <w:szCs w:val="24"/>
          <w14:ligatures w14:val="none"/>
        </w:rPr>
        <w:t xml:space="preserve"> ņemot vērā 13.05.2026. Attīstības komitejas atzinumu, </w:t>
      </w:r>
      <w:r>
        <w:rPr>
          <w:rFonts w:ascii="Times New Roman" w:hAnsi="Times New Roman" w:cs="Times New Roman"/>
          <w:b/>
          <w:kern w:val="0"/>
          <w:sz w:val="24"/>
          <w:szCs w:val="24"/>
          <w14:ligatures w14:val="none"/>
        </w:rPr>
        <w:t>atklāti balsojot: PAR – 1</w:t>
      </w:r>
      <w:r>
        <w:rPr>
          <w:rFonts w:ascii="Times New Roman" w:hAnsi="Times New Roman" w:cs="Times New Roman"/>
          <w:b/>
          <w:kern w:val="0"/>
          <w:sz w:val="24"/>
          <w:szCs w:val="24"/>
          <w14:ligatures w14:val="none"/>
        </w:rPr>
        <w:t>7</w:t>
      </w:r>
      <w:r>
        <w:rPr>
          <w:rFonts w:ascii="Times New Roman" w:hAnsi="Times New Roman" w:cs="Times New Roman"/>
          <w:b/>
          <w:kern w:val="0"/>
          <w:sz w:val="24"/>
          <w:szCs w:val="24"/>
          <w14:ligatures w14:val="none"/>
        </w:rPr>
        <w:t xml:space="preserve"> </w:t>
      </w:r>
      <w:r>
        <w:rPr>
          <w:rFonts w:ascii="Times New Roman" w:hAnsi="Times New Roman" w:cs="Times New Roman"/>
          <w:kern w:val="0"/>
          <w:sz w:val="24"/>
          <w:szCs w:val="24"/>
          <w14:ligatures w14:val="none"/>
        </w:rPr>
        <w:t xml:space="preserve">(Agris </w:t>
      </w:r>
      <w:proofErr w:type="spellStart"/>
      <w:r>
        <w:rPr>
          <w:rFonts w:ascii="Times New Roman" w:hAnsi="Times New Roman" w:cs="Times New Roman"/>
          <w:kern w:val="0"/>
          <w:sz w:val="24"/>
          <w:szCs w:val="24"/>
          <w14:ligatures w14:val="none"/>
        </w:rPr>
        <w:t>Lungevičs</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Janīna Grudule, Jānis Erels, Māris Justs,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w:t>
      </w:r>
      <w:r>
        <w:rPr>
          <w:rFonts w:ascii="Times New Roman" w:hAnsi="Times New Roman" w:cs="Times New Roman"/>
          <w:b/>
          <w:kern w:val="0"/>
          <w:sz w:val="24"/>
          <w:szCs w:val="24"/>
          <w14:ligatures w14:val="none"/>
        </w:rPr>
        <w:t xml:space="preserve"> 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p>
    <w:p w14:paraId="35A35D18" w14:textId="77777777" w:rsidR="000404E2" w:rsidRPr="000404E2" w:rsidRDefault="000404E2" w:rsidP="000404E2">
      <w:pPr>
        <w:spacing w:after="0" w:line="240" w:lineRule="auto"/>
        <w:ind w:firstLine="709"/>
        <w:jc w:val="both"/>
        <w:rPr>
          <w:rFonts w:ascii="Times New Roman" w:hAnsi="Times New Roman" w:cs="Times New Roman"/>
          <w:b/>
          <w:kern w:val="0"/>
          <w:sz w:val="24"/>
          <w:szCs w:val="24"/>
          <w14:ligatures w14:val="none"/>
        </w:rPr>
      </w:pPr>
    </w:p>
    <w:p w14:paraId="25AB0872" w14:textId="77777777" w:rsidR="000404E2" w:rsidRPr="000404E2" w:rsidRDefault="000404E2" w:rsidP="000404E2">
      <w:pPr>
        <w:numPr>
          <w:ilvl w:val="0"/>
          <w:numId w:val="28"/>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0404E2">
        <w:rPr>
          <w:rFonts w:ascii="Times New Roman" w:eastAsia="Calibri" w:hAnsi="Times New Roman" w:cs="Times New Roman"/>
          <w:kern w:val="0"/>
          <w:sz w:val="24"/>
          <w:szCs w:val="24"/>
          <w14:ligatures w14:val="none"/>
        </w:rPr>
        <w:lastRenderedPageBreak/>
        <w:t>Atlikt lēmuma pieņemšanu un nodot to izskatīšanai 2026.gada jūnija Attīstības komitejas sēdē.</w:t>
      </w:r>
    </w:p>
    <w:p w14:paraId="31AE0352" w14:textId="4DD7A549" w:rsidR="000404E2" w:rsidRPr="000404E2" w:rsidRDefault="000404E2" w:rsidP="000404E2">
      <w:pPr>
        <w:numPr>
          <w:ilvl w:val="0"/>
          <w:numId w:val="28"/>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0404E2">
        <w:rPr>
          <w:rFonts w:ascii="Times New Roman" w:eastAsia="Calibri" w:hAnsi="Times New Roman" w:cs="Times New Roman"/>
          <w:kern w:val="0"/>
          <w:sz w:val="24"/>
          <w:szCs w:val="24"/>
          <w14:ligatures w14:val="none"/>
        </w:rPr>
        <w:t xml:space="preserve">Uzdot </w:t>
      </w:r>
      <w:r w:rsidRPr="000404E2">
        <w:rPr>
          <w:rFonts w:ascii="Times New Roman" w:eastAsia="Times New Roman" w:hAnsi="Times New Roman" w:cs="Times New Roman"/>
          <w:kern w:val="0"/>
          <w:sz w:val="24"/>
          <w:szCs w:val="24"/>
          <w:lang w:eastAsia="lv-LV"/>
          <w14:ligatures w14:val="none"/>
        </w:rPr>
        <w:t xml:space="preserve">SIA “Madonas Siltums” un SIA “Cesvaines siltums” valdes locekļiem sniegt precizētu informāciju par SIA “Cesvaines siltums” reorganizācijas procesu </w:t>
      </w:r>
      <w:r w:rsidRPr="000404E2">
        <w:rPr>
          <w:rFonts w:ascii="Times New Roman" w:eastAsia="Calibri" w:hAnsi="Times New Roman" w:cs="Times New Roman"/>
          <w:kern w:val="0"/>
          <w:sz w:val="24"/>
          <w:szCs w:val="24"/>
          <w14:ligatures w14:val="none"/>
        </w:rPr>
        <w:t>Attīstības komitejas sēdē 2026.gada jūnijā</w:t>
      </w:r>
      <w:r w:rsidRPr="000404E2">
        <w:rPr>
          <w:rFonts w:ascii="Times New Roman" w:eastAsia="Times New Roman" w:hAnsi="Times New Roman" w:cs="Times New Roman"/>
          <w:kern w:val="0"/>
          <w:sz w:val="24"/>
          <w:szCs w:val="24"/>
          <w:lang w:eastAsia="lv-LV"/>
          <w14:ligatures w14:val="none"/>
        </w:rPr>
        <w:t>.</w:t>
      </w:r>
    </w:p>
    <w:p w14:paraId="6D3E64CE" w14:textId="77777777" w:rsidR="000404E2" w:rsidRDefault="000404E2" w:rsidP="00D72E84">
      <w:pPr>
        <w:widowControl w:val="0"/>
        <w:suppressAutoHyphens/>
        <w:spacing w:after="0" w:line="240" w:lineRule="auto"/>
        <w:jc w:val="both"/>
        <w:rPr>
          <w:rFonts w:ascii="Times New Roman" w:eastAsia="SimSun" w:hAnsi="Times New Roman" w:cs="Arial"/>
          <w:b/>
          <w:iCs/>
          <w:sz w:val="24"/>
          <w:szCs w:val="24"/>
          <w:lang w:eastAsia="hi-IN" w:bidi="hi-IN"/>
          <w14:ligatures w14:val="none"/>
        </w:rPr>
      </w:pPr>
    </w:p>
    <w:p w14:paraId="14D0DEF3" w14:textId="77777777" w:rsidR="0012554F" w:rsidRDefault="0012554F" w:rsidP="00EF3368">
      <w:pPr>
        <w:spacing w:after="0" w:line="240" w:lineRule="auto"/>
        <w:jc w:val="both"/>
        <w:rPr>
          <w:rFonts w:ascii="Times New Roman" w:eastAsia="Arial Unicode MS" w:hAnsi="Times New Roman" w:cs="Arial Unicode MS"/>
          <w:b/>
          <w:sz w:val="24"/>
          <w:szCs w:val="24"/>
          <w:lang w:eastAsia="lv-LV"/>
        </w:rPr>
      </w:pPr>
    </w:p>
    <w:p w14:paraId="75E24083" w14:textId="77777777" w:rsidR="00D72E84" w:rsidRDefault="00D72E84" w:rsidP="00EF3368">
      <w:pPr>
        <w:spacing w:after="0" w:line="240" w:lineRule="auto"/>
        <w:jc w:val="both"/>
        <w:rPr>
          <w:rFonts w:ascii="Times New Roman" w:eastAsia="Arial Unicode MS" w:hAnsi="Times New Roman" w:cs="Arial Unicode MS"/>
          <w:b/>
          <w:sz w:val="24"/>
          <w:szCs w:val="24"/>
          <w:lang w:eastAsia="lv-LV"/>
        </w:rPr>
      </w:pPr>
    </w:p>
    <w:p w14:paraId="5C00670D" w14:textId="12CB4F18" w:rsidR="00327C22" w:rsidRPr="00170333" w:rsidRDefault="00327C22" w:rsidP="0071772E">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71772E">
      <w:pPr>
        <w:spacing w:after="0" w:line="240" w:lineRule="auto"/>
        <w:jc w:val="both"/>
        <w:rPr>
          <w:rFonts w:ascii="Times New Roman" w:hAnsi="Times New Roman" w:cs="Times New Roman"/>
          <w:kern w:val="0"/>
          <w:sz w:val="24"/>
          <w:szCs w:val="24"/>
          <w14:ligatures w14:val="none"/>
        </w:rPr>
      </w:pPr>
    </w:p>
    <w:p w14:paraId="56AB6742" w14:textId="77777777" w:rsidR="00EF3368" w:rsidRDefault="00EF3368" w:rsidP="0071772E">
      <w:pPr>
        <w:spacing w:after="0" w:line="240" w:lineRule="auto"/>
        <w:jc w:val="both"/>
        <w:rPr>
          <w:rFonts w:ascii="Times New Roman" w:hAnsi="Times New Roman" w:cs="Times New Roman"/>
          <w:kern w:val="0"/>
          <w:sz w:val="24"/>
          <w:szCs w:val="24"/>
          <w14:ligatures w14:val="none"/>
        </w:rPr>
      </w:pPr>
    </w:p>
    <w:p w14:paraId="13170C10" w14:textId="77777777" w:rsidR="003B04CF" w:rsidRPr="00170333" w:rsidRDefault="003B04CF" w:rsidP="0071772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E81A00A" w14:textId="77777777" w:rsidR="000404E2" w:rsidRPr="000404E2" w:rsidRDefault="000404E2" w:rsidP="000404E2">
      <w:pPr>
        <w:spacing w:after="0" w:line="240" w:lineRule="auto"/>
        <w:rPr>
          <w:rFonts w:ascii="Times New Roman" w:eastAsia="Times New Roman" w:hAnsi="Times New Roman" w:cs="Times New Roman"/>
          <w:i/>
          <w:kern w:val="0"/>
          <w:sz w:val="24"/>
          <w:szCs w:val="24"/>
          <w:lang w:eastAsia="lv-LV"/>
          <w14:ligatures w14:val="none"/>
        </w:rPr>
      </w:pPr>
      <w:r w:rsidRPr="000404E2">
        <w:rPr>
          <w:rFonts w:ascii="Times New Roman" w:eastAsia="Times New Roman" w:hAnsi="Times New Roman" w:cs="Times New Roman"/>
          <w:i/>
          <w:kern w:val="0"/>
          <w:sz w:val="24"/>
          <w:szCs w:val="24"/>
          <w:lang w:eastAsia="lv-LV"/>
          <w14:ligatures w14:val="none"/>
        </w:rPr>
        <w:t>Lauva 26199545</w:t>
      </w:r>
    </w:p>
    <w:p w14:paraId="15D850BE" w14:textId="0F530221" w:rsidR="00D51F4A" w:rsidRPr="00825150" w:rsidRDefault="00D51F4A" w:rsidP="003B04CF">
      <w:pPr>
        <w:contextualSpacing/>
        <w:rPr>
          <w:rFonts w:ascii="Times New Roman" w:eastAsia="Times New Roman" w:hAnsi="Times New Roman" w:cs="Times New Roman"/>
          <w:bCs/>
          <w:i/>
          <w:kern w:val="0"/>
          <w:sz w:val="24"/>
          <w:szCs w:val="24"/>
          <w:lang w:eastAsia="lv-LV"/>
          <w14:ligatures w14:val="none"/>
        </w:rPr>
      </w:pPr>
    </w:p>
    <w:sectPr w:rsidR="00D51F4A" w:rsidRPr="0082515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7329" w14:textId="77777777" w:rsidR="00E13008" w:rsidRPr="00CA050C" w:rsidRDefault="00E13008">
      <w:pPr>
        <w:spacing w:after="0" w:line="240" w:lineRule="auto"/>
      </w:pPr>
      <w:r w:rsidRPr="00CA050C">
        <w:separator/>
      </w:r>
    </w:p>
  </w:endnote>
  <w:endnote w:type="continuationSeparator" w:id="0">
    <w:p w14:paraId="0CF14A85" w14:textId="77777777" w:rsidR="00E13008" w:rsidRPr="00CA050C" w:rsidRDefault="00E1300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2225" w14:textId="77777777" w:rsidR="00E13008" w:rsidRPr="00CA050C" w:rsidRDefault="00E13008">
      <w:pPr>
        <w:spacing w:after="0" w:line="240" w:lineRule="auto"/>
      </w:pPr>
      <w:r w:rsidRPr="00CA050C">
        <w:separator/>
      </w:r>
    </w:p>
  </w:footnote>
  <w:footnote w:type="continuationSeparator" w:id="0">
    <w:p w14:paraId="3D6817B7" w14:textId="77777777" w:rsidR="00E13008" w:rsidRPr="00CA050C" w:rsidRDefault="00E1300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A62FBD"/>
    <w:multiLevelType w:val="hybridMultilevel"/>
    <w:tmpl w:val="B142B3B2"/>
    <w:lvl w:ilvl="0" w:tplc="7DE4126A">
      <w:start w:val="1"/>
      <w:numFmt w:val="decimal"/>
      <w:lvlText w:val="%1."/>
      <w:lvlJc w:val="left"/>
      <w:pPr>
        <w:ind w:left="1080" w:hanging="360"/>
      </w:pPr>
      <w:rPr>
        <w:rFonts w:hint="default"/>
        <w:b/>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4"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9"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7"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18"/>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3"/>
  </w:num>
  <w:num w:numId="7" w16cid:durableId="900410673">
    <w:abstractNumId w:val="23"/>
  </w:num>
  <w:num w:numId="8" w16cid:durableId="1228685852">
    <w:abstractNumId w:val="15"/>
  </w:num>
  <w:num w:numId="9" w16cid:durableId="687366646">
    <w:abstractNumId w:val="6"/>
  </w:num>
  <w:num w:numId="10" w16cid:durableId="1777867973">
    <w:abstractNumId w:val="16"/>
  </w:num>
  <w:num w:numId="11" w16cid:durableId="1105268561">
    <w:abstractNumId w:val="29"/>
  </w:num>
  <w:num w:numId="12" w16cid:durableId="1657225773">
    <w:abstractNumId w:val="8"/>
  </w:num>
  <w:num w:numId="13" w16cid:durableId="954672885">
    <w:abstractNumId w:val="24"/>
  </w:num>
  <w:num w:numId="14" w16cid:durableId="1532722903">
    <w:abstractNumId w:val="17"/>
  </w:num>
  <w:num w:numId="15" w16cid:durableId="100730268">
    <w:abstractNumId w:val="3"/>
  </w:num>
  <w:num w:numId="16" w16cid:durableId="942303249">
    <w:abstractNumId w:val="27"/>
  </w:num>
  <w:num w:numId="17" w16cid:durableId="10693817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25"/>
  </w:num>
  <w:num w:numId="19" w16cid:durableId="976645995">
    <w:abstractNumId w:val="22"/>
  </w:num>
  <w:num w:numId="20" w16cid:durableId="1350527645">
    <w:abstractNumId w:val="2"/>
  </w:num>
  <w:num w:numId="21" w16cid:durableId="1523010497">
    <w:abstractNumId w:val="7"/>
  </w:num>
  <w:num w:numId="22" w16cid:durableId="1914123904">
    <w:abstractNumId w:val="14"/>
  </w:num>
  <w:num w:numId="23" w16cid:durableId="1347756525">
    <w:abstractNumId w:val="10"/>
  </w:num>
  <w:num w:numId="24" w16cid:durableId="1877501801">
    <w:abstractNumId w:val="12"/>
  </w:num>
  <w:num w:numId="25" w16cid:durableId="1794978664">
    <w:abstractNumId w:val="20"/>
  </w:num>
  <w:num w:numId="26" w16cid:durableId="438836671">
    <w:abstractNumId w:val="19"/>
  </w:num>
  <w:num w:numId="27" w16cid:durableId="1407998352">
    <w:abstractNumId w:val="11"/>
  </w:num>
  <w:num w:numId="28" w16cid:durableId="1754625784">
    <w:abstractNumId w:val="9"/>
  </w:num>
  <w:num w:numId="29" w16cid:durableId="1379820491">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3</Pages>
  <Words>4819</Words>
  <Characters>2748</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925</cp:revision>
  <dcterms:created xsi:type="dcterms:W3CDTF">2024-09-06T08:06:00Z</dcterms:created>
  <dcterms:modified xsi:type="dcterms:W3CDTF">2026-05-29T20:00:00Z</dcterms:modified>
</cp:coreProperties>
</file>